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840CC" w:rsidRDefault="00EC1F0F" w:rsidP="00B840CC">
      <w:pP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Samostatný</w:t>
      </w:r>
      <w:r w:rsidR="00B840CC" w:rsidRPr="00B840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učiteľ druhého stupňa základnej školy</w:t>
      </w:r>
    </w:p>
    <w:p w:rsidR="00203B1A" w:rsidRPr="00B840CC" w:rsidRDefault="00203B1A" w:rsidP="00B840CC">
      <w:pP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A1414A" w:rsidRPr="00E00DCF" w:rsidRDefault="00817A84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Pr="00B840CC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10"/>
        <w:gridCol w:w="6171"/>
        <w:gridCol w:w="5273"/>
      </w:tblGrid>
      <w:tr w:rsidR="00894351" w:rsidRPr="00E00DCF" w:rsidTr="00894351">
        <w:tc>
          <w:tcPr>
            <w:tcW w:w="2810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273" w:type="dxa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realizovať svoj profesijný rast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  <w:tc>
          <w:tcPr>
            <w:tcW w:w="5273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 w:line="240" w:lineRule="auto"/>
              <w:ind w:left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1F0F" w:rsidRPr="00EC1F0F" w:rsidRDefault="00EC1F0F" w:rsidP="00EC1F0F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C1F0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1. Žiak</w:t>
      </w:r>
    </w:p>
    <w:tbl>
      <w:tblPr>
        <w:tblStyle w:val="Mriekatabuky4"/>
        <w:tblW w:w="0" w:type="auto"/>
        <w:tblInd w:w="108" w:type="dxa"/>
        <w:tblLook w:val="04A0" w:firstRow="1" w:lastRow="0" w:firstColumn="1" w:lastColumn="0" w:noHBand="0" w:noVBand="1"/>
      </w:tblPr>
      <w:tblGrid>
        <w:gridCol w:w="1848"/>
        <w:gridCol w:w="6373"/>
        <w:gridCol w:w="5891"/>
      </w:tblGrid>
      <w:tr w:rsidR="00203B1A" w:rsidRPr="00EC1F0F" w:rsidTr="00203B1A">
        <w:tc>
          <w:tcPr>
            <w:tcW w:w="8221" w:type="dxa"/>
            <w:gridSpan w:val="2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EC1F0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  <w:tc>
          <w:tcPr>
            <w:tcW w:w="5891" w:type="dxa"/>
          </w:tcPr>
          <w:p w:rsidR="00203B1A" w:rsidRPr="00EC1F0F" w:rsidRDefault="00203B1A" w:rsidP="00203B1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203B1A" w:rsidRPr="00EC1F0F" w:rsidTr="00203B1A">
        <w:tc>
          <w:tcPr>
            <w:tcW w:w="1848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73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  <w:tc>
          <w:tcPr>
            <w:tcW w:w="5891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48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73" w:type="dxa"/>
          </w:tcPr>
          <w:p w:rsidR="00203B1A" w:rsidRPr="00EC1F0F" w:rsidRDefault="00203B1A" w:rsidP="00EC1F0F">
            <w:pPr>
              <w:numPr>
                <w:ilvl w:val="0"/>
                <w:numId w:val="168"/>
              </w:numPr>
              <w:suppressAutoHyphens/>
              <w:autoSpaceDN w:val="0"/>
              <w:spacing w:before="120" w:after="120"/>
              <w:ind w:left="318" w:hanging="284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  <w:tc>
          <w:tcPr>
            <w:tcW w:w="5891" w:type="dxa"/>
          </w:tcPr>
          <w:p w:rsidR="00203B1A" w:rsidRPr="00EC1F0F" w:rsidRDefault="00203B1A" w:rsidP="00EC1F0F">
            <w:pPr>
              <w:numPr>
                <w:ilvl w:val="0"/>
                <w:numId w:val="168"/>
              </w:numPr>
              <w:suppressAutoHyphens/>
              <w:autoSpaceDN w:val="0"/>
              <w:spacing w:before="120" w:after="120"/>
              <w:ind w:left="318" w:hanging="284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48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73" w:type="dxa"/>
          </w:tcPr>
          <w:p w:rsidR="00203B1A" w:rsidRPr="00EC1F0F" w:rsidRDefault="00203B1A" w:rsidP="00EC1F0F">
            <w:pPr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(pozorovanie, rozhovor a pod.) na posúdenie kognitívnych, sociálnych, morálnych a charakterových vlastností žiaka </w:t>
            </w:r>
          </w:p>
          <w:p w:rsidR="00203B1A" w:rsidRPr="00EC1F0F" w:rsidRDefault="00203B1A" w:rsidP="00EC1F0F">
            <w:pPr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  <w:tc>
          <w:tcPr>
            <w:tcW w:w="5891" w:type="dxa"/>
          </w:tcPr>
          <w:p w:rsidR="00203B1A" w:rsidRPr="00EC1F0F" w:rsidRDefault="00203B1A" w:rsidP="00EC1F0F">
            <w:pPr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8221" w:type="dxa"/>
            <w:gridSpan w:val="2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EC1F0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  <w:tc>
          <w:tcPr>
            <w:tcW w:w="5891" w:type="dxa"/>
          </w:tcPr>
          <w:p w:rsidR="00203B1A" w:rsidRPr="00EC1F0F" w:rsidRDefault="00203B1A" w:rsidP="00203B1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203B1A" w:rsidRPr="00EC1F0F" w:rsidTr="00203B1A">
        <w:tc>
          <w:tcPr>
            <w:tcW w:w="1848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73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  <w:tc>
          <w:tcPr>
            <w:tcW w:w="5891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48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73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  <w:tc>
          <w:tcPr>
            <w:tcW w:w="5891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48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373" w:type="dxa"/>
          </w:tcPr>
          <w:p w:rsidR="00203B1A" w:rsidRPr="00EC1F0F" w:rsidRDefault="00203B1A" w:rsidP="00EC1F0F">
            <w:pPr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459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>používa vhodné, overené (odporúčané) metódy a nástroje na posúdenie:</w:t>
            </w:r>
          </w:p>
          <w:p w:rsidR="00203B1A" w:rsidRPr="00EC1F0F" w:rsidRDefault="00203B1A" w:rsidP="00EC1F0F">
            <w:pPr>
              <w:numPr>
                <w:ilvl w:val="0"/>
                <w:numId w:val="17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>poznávacích schopností žiaka (učebné stratégie, štýl učenia sa a pod.),</w:t>
            </w:r>
          </w:p>
          <w:p w:rsidR="00203B1A" w:rsidRPr="00EC1F0F" w:rsidRDefault="00203B1A" w:rsidP="00EC1F0F">
            <w:pPr>
              <w:numPr>
                <w:ilvl w:val="0"/>
                <w:numId w:val="170"/>
              </w:numPr>
              <w:suppressAutoHyphens/>
              <w:autoSpaceDN w:val="0"/>
              <w:spacing w:before="120" w:after="120"/>
              <w:ind w:left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>motivácie k učeniu (vrátane príčin nedostatočnej motivácie, nezáujmu a pod.),</w:t>
            </w:r>
          </w:p>
          <w:p w:rsidR="00203B1A" w:rsidRPr="00EC1F0F" w:rsidRDefault="00203B1A" w:rsidP="00EC1F0F">
            <w:pPr>
              <w:numPr>
                <w:ilvl w:val="0"/>
                <w:numId w:val="17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individuálnych vzdelávacích potrieb žiakov v sociálnej skupine (napr. v triede, krúžku, učebnej skupine) </w:t>
            </w:r>
          </w:p>
          <w:p w:rsidR="00203B1A" w:rsidRPr="00EC1F0F" w:rsidRDefault="00203B1A" w:rsidP="00EC1F0F">
            <w:pPr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459" w:hanging="283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  <w:tc>
          <w:tcPr>
            <w:tcW w:w="5891" w:type="dxa"/>
          </w:tcPr>
          <w:p w:rsidR="00203B1A" w:rsidRPr="00EC1F0F" w:rsidRDefault="00203B1A" w:rsidP="00EC1F0F">
            <w:pPr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459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8221" w:type="dxa"/>
            <w:gridSpan w:val="2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EC1F0F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EC1F0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EC1F0F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  <w:tc>
          <w:tcPr>
            <w:tcW w:w="5891" w:type="dxa"/>
          </w:tcPr>
          <w:p w:rsidR="00203B1A" w:rsidRPr="00EC1F0F" w:rsidRDefault="00203B1A" w:rsidP="00203B1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203B1A" w:rsidRPr="00EC1F0F" w:rsidTr="00203B1A">
        <w:tc>
          <w:tcPr>
            <w:tcW w:w="1848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73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  <w:tc>
          <w:tcPr>
            <w:tcW w:w="5891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48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73" w:type="dxa"/>
          </w:tcPr>
          <w:p w:rsidR="00203B1A" w:rsidRPr="00EC1F0F" w:rsidRDefault="00203B1A" w:rsidP="00EC1F0F">
            <w:pPr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  <w:tc>
          <w:tcPr>
            <w:tcW w:w="5891" w:type="dxa"/>
          </w:tcPr>
          <w:p w:rsidR="00203B1A" w:rsidRPr="00EC1F0F" w:rsidRDefault="00203B1A" w:rsidP="00EC1F0F">
            <w:pPr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48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73" w:type="dxa"/>
          </w:tcPr>
          <w:p w:rsidR="00203B1A" w:rsidRPr="00EC1F0F" w:rsidRDefault="00203B1A" w:rsidP="00EC1F0F">
            <w:pPr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a nástroje (rozhovor, dotazník pre zákonného </w:t>
            </w:r>
            <w:r w:rsidRPr="00EC1F0F">
              <w:rPr>
                <w:rFonts w:ascii="Arial" w:hAnsi="Arial" w:cs="Arial"/>
                <w:sz w:val="24"/>
                <w:szCs w:val="24"/>
              </w:rPr>
              <w:lastRenderedPageBreak/>
              <w:t xml:space="preserve">zástupcu, analýza osobného spisu žiaka a pod.) na posúdenie vplyvov 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 prostredia na vývin žiaka </w:t>
            </w:r>
          </w:p>
          <w:p w:rsidR="00203B1A" w:rsidRPr="00EC1F0F" w:rsidRDefault="00203B1A" w:rsidP="00EC1F0F">
            <w:pPr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</w:t>
            </w:r>
          </w:p>
        </w:tc>
        <w:tc>
          <w:tcPr>
            <w:tcW w:w="5891" w:type="dxa"/>
          </w:tcPr>
          <w:p w:rsidR="00203B1A" w:rsidRPr="00EC1F0F" w:rsidRDefault="00203B1A" w:rsidP="00EC1F0F">
            <w:pPr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1F0F" w:rsidRPr="00EC1F0F" w:rsidRDefault="00EC1F0F" w:rsidP="00EC1F0F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C1F0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4"/>
        <w:tblW w:w="0" w:type="auto"/>
        <w:tblInd w:w="108" w:type="dxa"/>
        <w:tblLook w:val="04A0" w:firstRow="1" w:lastRow="0" w:firstColumn="1" w:lastColumn="0" w:noHBand="0" w:noVBand="1"/>
      </w:tblPr>
      <w:tblGrid>
        <w:gridCol w:w="1851"/>
        <w:gridCol w:w="6333"/>
        <w:gridCol w:w="5928"/>
      </w:tblGrid>
      <w:tr w:rsidR="00203B1A" w:rsidRPr="00EC1F0F" w:rsidTr="00203B1A">
        <w:tc>
          <w:tcPr>
            <w:tcW w:w="8184" w:type="dxa"/>
            <w:gridSpan w:val="2"/>
          </w:tcPr>
          <w:p w:rsidR="00203B1A" w:rsidRPr="00EC1F0F" w:rsidRDefault="00203B1A" w:rsidP="00EC1F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EC1F0F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  <w:tc>
          <w:tcPr>
            <w:tcW w:w="5928" w:type="dxa"/>
          </w:tcPr>
          <w:p w:rsidR="00203B1A" w:rsidRPr="00EC1F0F" w:rsidRDefault="00203B1A" w:rsidP="00203B1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203B1A" w:rsidRPr="00EC1F0F" w:rsidTr="00203B1A">
        <w:tc>
          <w:tcPr>
            <w:tcW w:w="1851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33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  <w:tc>
          <w:tcPr>
            <w:tcW w:w="5928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51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33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 analýzy obsahu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realizovať akčný výskum </w:t>
            </w:r>
          </w:p>
        </w:tc>
        <w:tc>
          <w:tcPr>
            <w:tcW w:w="5928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51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333" w:type="dxa"/>
          </w:tcPr>
          <w:p w:rsidR="00203B1A" w:rsidRPr="00EC1F0F" w:rsidRDefault="00203B1A" w:rsidP="00EC1F0F">
            <w:pPr>
              <w:numPr>
                <w:ilvl w:val="0"/>
                <w:numId w:val="17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spolupracuje pri tvorbe učebných osnov predmetov, ktoré vyučuje, t. j. transformuje ciele, výkonový a obsahový štandard a učebný obsah predmetov zo štátneho vzdelávacieho programu do školského vzdelávacieho programu </w:t>
            </w:r>
          </w:p>
          <w:p w:rsidR="00203B1A" w:rsidRPr="00EC1F0F" w:rsidRDefault="00203B1A" w:rsidP="00EC1F0F">
            <w:pPr>
              <w:numPr>
                <w:ilvl w:val="0"/>
                <w:numId w:val="17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vedeckých, umeleckých, športových odborov a začleňuje ich do učebných osnov vyučovacích predmetov v školskom vzdelávacom programe </w:t>
            </w:r>
          </w:p>
        </w:tc>
        <w:tc>
          <w:tcPr>
            <w:tcW w:w="5928" w:type="dxa"/>
          </w:tcPr>
          <w:p w:rsidR="00203B1A" w:rsidRPr="00EC1F0F" w:rsidRDefault="00203B1A" w:rsidP="00EC1F0F">
            <w:pPr>
              <w:numPr>
                <w:ilvl w:val="0"/>
                <w:numId w:val="17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8184" w:type="dxa"/>
            <w:gridSpan w:val="2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EC1F0F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  <w:tc>
          <w:tcPr>
            <w:tcW w:w="5928" w:type="dxa"/>
          </w:tcPr>
          <w:p w:rsidR="00203B1A" w:rsidRPr="00EC1F0F" w:rsidRDefault="00203B1A" w:rsidP="00203B1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203B1A" w:rsidRPr="00EC1F0F" w:rsidTr="00203B1A">
        <w:tc>
          <w:tcPr>
            <w:tcW w:w="1851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33" w:type="dxa"/>
            <w:vAlign w:val="center"/>
          </w:tcPr>
          <w:p w:rsidR="00203B1A" w:rsidRPr="00EC1F0F" w:rsidRDefault="00203B1A" w:rsidP="00EC1F0F">
            <w:pPr>
              <w:numPr>
                <w:ilvl w:val="0"/>
                <w:numId w:val="16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  <w:tc>
          <w:tcPr>
            <w:tcW w:w="5928" w:type="dxa"/>
          </w:tcPr>
          <w:p w:rsidR="00203B1A" w:rsidRPr="00EC1F0F" w:rsidRDefault="00203B1A" w:rsidP="00EC1F0F">
            <w:pPr>
              <w:numPr>
                <w:ilvl w:val="0"/>
                <w:numId w:val="16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51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33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  individuálnymi potrebami žiakov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</w:t>
            </w:r>
            <w:r w:rsidRPr="00EC1F0F">
              <w:rPr>
                <w:rFonts w:ascii="Arial" w:hAnsi="Arial" w:cs="Arial"/>
                <w:sz w:val="24"/>
                <w:szCs w:val="24"/>
              </w:rPr>
              <w:lastRenderedPageBreak/>
              <w:t xml:space="preserve">úspešnosti žiakov v riešení úloh v súlade s cieľmi a obsahom učiva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  <w:tc>
          <w:tcPr>
            <w:tcW w:w="5928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51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333" w:type="dxa"/>
          </w:tcPr>
          <w:p w:rsidR="00203B1A" w:rsidRPr="00EC1F0F" w:rsidRDefault="00203B1A" w:rsidP="00EC1F0F">
            <w:pPr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 učebnými osnovami predmetu, výsledkami pedagogickej diagnostiky a  predchádzajúcej výučby </w:t>
            </w:r>
          </w:p>
          <w:p w:rsidR="00203B1A" w:rsidRPr="00EC1F0F" w:rsidRDefault="00203B1A" w:rsidP="00EC1F0F">
            <w:pPr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vytvára projekty vyučovacích jednotiek v súlade s tematickým výchovno-vzdelávacím plánom </w:t>
            </w:r>
          </w:p>
          <w:p w:rsidR="00203B1A" w:rsidRPr="00EC1F0F" w:rsidRDefault="00203B1A" w:rsidP="00EC1F0F">
            <w:pPr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žiakov so špeciálnymi výchovno-vzdelávacími potrebami </w:t>
            </w:r>
          </w:p>
          <w:p w:rsidR="00203B1A" w:rsidRPr="00EC1F0F" w:rsidRDefault="00203B1A" w:rsidP="00EC1F0F">
            <w:pPr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(exkurzie, školské výlety a pod.) </w:t>
            </w:r>
          </w:p>
        </w:tc>
        <w:tc>
          <w:tcPr>
            <w:tcW w:w="5928" w:type="dxa"/>
          </w:tcPr>
          <w:p w:rsidR="00203B1A" w:rsidRPr="00EC1F0F" w:rsidRDefault="00203B1A" w:rsidP="00EC1F0F">
            <w:pPr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8184" w:type="dxa"/>
            <w:gridSpan w:val="2"/>
          </w:tcPr>
          <w:p w:rsidR="00203B1A" w:rsidRPr="00EC1F0F" w:rsidRDefault="00203B1A" w:rsidP="00EC1F0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C1F0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EC1F0F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  <w:tc>
          <w:tcPr>
            <w:tcW w:w="5928" w:type="dxa"/>
          </w:tcPr>
          <w:p w:rsidR="00203B1A" w:rsidRPr="00EC1F0F" w:rsidRDefault="00203B1A" w:rsidP="00203B1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203B1A" w:rsidRPr="00EC1F0F" w:rsidTr="00203B1A">
        <w:tc>
          <w:tcPr>
            <w:tcW w:w="1851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33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metódy a stratégie personálneho a sociálneho rozvoja žiaka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  <w:tc>
          <w:tcPr>
            <w:tcW w:w="5928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51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333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vybrať a využívať vyučovanie metódy a formy vzhľadom na výchovno-vzdelávacie ciele a individuálne výchovno-vzdelávacie potreby žiakov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  <w:tc>
          <w:tcPr>
            <w:tcW w:w="5928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51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33" w:type="dxa"/>
          </w:tcPr>
          <w:p w:rsidR="00203B1A" w:rsidRPr="00EC1F0F" w:rsidRDefault="00203B1A" w:rsidP="00EC1F0F">
            <w:pPr>
              <w:numPr>
                <w:ilvl w:val="0"/>
                <w:numId w:val="17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 zrozumiteľné pravidlá podporujúce dobré vzťahy a vzájomnú spoluprácu medzi žiakmi, žiakmi a učiteľom, učiteľom a zákonnými zástupcami žiakov </w:t>
            </w:r>
          </w:p>
          <w:p w:rsidR="00203B1A" w:rsidRPr="00EC1F0F" w:rsidRDefault="00203B1A" w:rsidP="00EC1F0F">
            <w:pPr>
              <w:numPr>
                <w:ilvl w:val="0"/>
                <w:numId w:val="17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organizuje a zabezpečuje vyučovací proces s dôrazom na plnenie učebných úloh a pomáha žiakom plniť ciele výučby </w:t>
            </w:r>
          </w:p>
          <w:p w:rsidR="00203B1A" w:rsidRPr="00EC1F0F" w:rsidRDefault="00203B1A" w:rsidP="00EC1F0F">
            <w:pPr>
              <w:numPr>
                <w:ilvl w:val="0"/>
                <w:numId w:val="17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lastRenderedPageBreak/>
              <w:t xml:space="preserve">podporuje, koordinuje a riadi aktívnu činnosť žiakov </w:t>
            </w:r>
          </w:p>
          <w:p w:rsidR="00203B1A" w:rsidRPr="00EC1F0F" w:rsidRDefault="00203B1A" w:rsidP="00EC1F0F">
            <w:pPr>
              <w:numPr>
                <w:ilvl w:val="0"/>
                <w:numId w:val="17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 formy podporujúce učenie sa žiakov v triede vrátane žiakov zo špeciálnymi výchovno-vzdelávacími potrebami, v  súlade s cieľmi, učivom a výsledkami pedagogickej diagnostiky </w:t>
            </w:r>
          </w:p>
          <w:p w:rsidR="00203B1A" w:rsidRPr="00EC1F0F" w:rsidRDefault="00203B1A" w:rsidP="00EC1F0F">
            <w:pPr>
              <w:numPr>
                <w:ilvl w:val="0"/>
                <w:numId w:val="17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 do vyučovania </w:t>
            </w:r>
          </w:p>
          <w:p w:rsidR="00203B1A" w:rsidRPr="00EC1F0F" w:rsidRDefault="00203B1A" w:rsidP="00EC1F0F">
            <w:pPr>
              <w:numPr>
                <w:ilvl w:val="0"/>
                <w:numId w:val="17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zapája žiakov do riadenia výchovno-vzdelávacích aktivít (časti vyučovacej hodiny, dramatizácia a pod.) </w:t>
            </w:r>
          </w:p>
          <w:p w:rsidR="00203B1A" w:rsidRPr="00EC1F0F" w:rsidRDefault="00203B1A" w:rsidP="00EC1F0F">
            <w:pPr>
              <w:numPr>
                <w:ilvl w:val="0"/>
                <w:numId w:val="17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 w:rsidR="00203B1A" w:rsidRPr="00EC1F0F" w:rsidRDefault="00203B1A" w:rsidP="00EC1F0F">
            <w:pPr>
              <w:numPr>
                <w:ilvl w:val="0"/>
                <w:numId w:val="17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vyučovania </w:t>
            </w:r>
          </w:p>
        </w:tc>
        <w:tc>
          <w:tcPr>
            <w:tcW w:w="5928" w:type="dxa"/>
          </w:tcPr>
          <w:p w:rsidR="00203B1A" w:rsidRPr="00EC1F0F" w:rsidRDefault="00203B1A" w:rsidP="00EC1F0F">
            <w:pPr>
              <w:numPr>
                <w:ilvl w:val="0"/>
                <w:numId w:val="17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8184" w:type="dxa"/>
            <w:gridSpan w:val="2"/>
          </w:tcPr>
          <w:p w:rsidR="00203B1A" w:rsidRPr="00EC1F0F" w:rsidRDefault="00203B1A" w:rsidP="00EC1F0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C1F0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EC1F0F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  <w:tc>
          <w:tcPr>
            <w:tcW w:w="5928" w:type="dxa"/>
          </w:tcPr>
          <w:p w:rsidR="00203B1A" w:rsidRPr="00EC1F0F" w:rsidRDefault="00203B1A" w:rsidP="00203B1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203B1A" w:rsidRPr="00EC1F0F" w:rsidTr="00203B1A">
        <w:tc>
          <w:tcPr>
            <w:tcW w:w="1851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33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  <w:tc>
          <w:tcPr>
            <w:tcW w:w="5928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51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33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lastRenderedPageBreak/>
              <w:t xml:space="preserve">hodnotiť a klasifikovať žiaka bez predsudkov a stereotypov </w:t>
            </w:r>
          </w:p>
        </w:tc>
        <w:tc>
          <w:tcPr>
            <w:tcW w:w="5928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51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333" w:type="dxa"/>
          </w:tcPr>
          <w:p w:rsidR="00203B1A" w:rsidRPr="00EC1F0F" w:rsidRDefault="00203B1A" w:rsidP="00EC1F0F">
            <w:pPr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 individuálne odlišnosti a možnosti </w:t>
            </w:r>
          </w:p>
          <w:p w:rsidR="00203B1A" w:rsidRPr="00EC1F0F" w:rsidRDefault="00203B1A" w:rsidP="00EC1F0F">
            <w:pPr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na základe znalosti 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psychodidaktických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 aspektov hodnotenia </w:t>
            </w:r>
          </w:p>
          <w:p w:rsidR="00203B1A" w:rsidRPr="00EC1F0F" w:rsidRDefault="00203B1A" w:rsidP="00EC1F0F">
            <w:pPr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 a vzájomné hodnotenie žiakov (kooperatívne metódy) v súlade s cieľmi, obsahom a úlohami </w:t>
            </w:r>
          </w:p>
          <w:p w:rsidR="00203B1A" w:rsidRPr="00EC1F0F" w:rsidRDefault="00203B1A" w:rsidP="00EC1F0F">
            <w:pPr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podporuje samostatnosť a zodpovednosť žiakov za výsledky ich činnosti </w:t>
            </w:r>
          </w:p>
          <w:p w:rsidR="00203B1A" w:rsidRPr="00EC1F0F" w:rsidRDefault="00203B1A" w:rsidP="00EC1F0F">
            <w:pPr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ich výkonu a správania a vyhodnocuje jej účinnosť </w:t>
            </w:r>
          </w:p>
          <w:p w:rsidR="00203B1A" w:rsidRPr="00EC1F0F" w:rsidRDefault="00203B1A" w:rsidP="00EC1F0F">
            <w:pPr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pomáha žiakom pri výbere pozitívnych vzorov </w:t>
            </w:r>
          </w:p>
          <w:p w:rsidR="00203B1A" w:rsidRPr="00EC1F0F" w:rsidRDefault="00203B1A" w:rsidP="00EC1F0F">
            <w:pPr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žiaka </w:t>
            </w:r>
          </w:p>
          <w:p w:rsidR="00203B1A" w:rsidRPr="00EC1F0F" w:rsidRDefault="00203B1A" w:rsidP="00EC1F0F">
            <w:pPr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na základe priebežného hodnotenia a testovania poskytuje žiakom spoľahlivé celkové hodnotenie úrovne ich vedomostí, zručností a správania </w:t>
            </w:r>
          </w:p>
          <w:p w:rsidR="00203B1A" w:rsidRPr="00EC1F0F" w:rsidRDefault="00203B1A" w:rsidP="00EC1F0F">
            <w:pPr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vyučovania na ďalšie plánovanie výchovno-vzdelávacej činnosti  </w:t>
            </w:r>
          </w:p>
        </w:tc>
        <w:tc>
          <w:tcPr>
            <w:tcW w:w="5928" w:type="dxa"/>
          </w:tcPr>
          <w:p w:rsidR="00203B1A" w:rsidRPr="00EC1F0F" w:rsidRDefault="00203B1A" w:rsidP="00EC1F0F">
            <w:pPr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1F0F" w:rsidRPr="00EC1F0F" w:rsidRDefault="00EC1F0F" w:rsidP="00EC1F0F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C1F0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EC1F0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4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6492"/>
        <w:gridCol w:w="5778"/>
      </w:tblGrid>
      <w:tr w:rsidR="00203B1A" w:rsidRPr="00EC1F0F" w:rsidTr="00203B1A">
        <w:tc>
          <w:tcPr>
            <w:tcW w:w="8334" w:type="dxa"/>
            <w:gridSpan w:val="2"/>
          </w:tcPr>
          <w:p w:rsidR="00203B1A" w:rsidRPr="00EC1F0F" w:rsidRDefault="00203B1A" w:rsidP="00EC1F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EC1F0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EC1F0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5778" w:type="dxa"/>
          </w:tcPr>
          <w:p w:rsidR="00203B1A" w:rsidRPr="00EC1F0F" w:rsidRDefault="00203B1A" w:rsidP="00203B1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203B1A" w:rsidRPr="00EC1F0F" w:rsidTr="00203B1A">
        <w:tc>
          <w:tcPr>
            <w:tcW w:w="1842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492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  <w:tc>
          <w:tcPr>
            <w:tcW w:w="5778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42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492" w:type="dxa"/>
            <w:vAlign w:val="center"/>
          </w:tcPr>
          <w:p w:rsidR="00203B1A" w:rsidRPr="00EC1F0F" w:rsidRDefault="00203B1A" w:rsidP="00EC1F0F">
            <w:pPr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459" w:hanging="425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  <w:tc>
          <w:tcPr>
            <w:tcW w:w="5778" w:type="dxa"/>
          </w:tcPr>
          <w:p w:rsidR="00203B1A" w:rsidRPr="00EC1F0F" w:rsidRDefault="00203B1A" w:rsidP="00EC1F0F">
            <w:pPr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459" w:hanging="425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42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492" w:type="dxa"/>
          </w:tcPr>
          <w:p w:rsidR="00203B1A" w:rsidRPr="00EC1F0F" w:rsidRDefault="00203B1A" w:rsidP="00EC1F0F">
            <w:pPr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diagnostikuje a  priebežne vyhodnocuje úroveň svojich profesijných, osobnostných a etických kompetencií </w:t>
            </w:r>
          </w:p>
          <w:p w:rsidR="00203B1A" w:rsidRPr="00EC1F0F" w:rsidRDefault="00203B1A" w:rsidP="00EC1F0F">
            <w:pPr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>využíva diagnostiku, hodnotenie a spätnú väzbu od iných pre svoj ďalší profesijný rast a 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3B1A" w:rsidRPr="00EC1F0F" w:rsidRDefault="00203B1A" w:rsidP="00EC1F0F">
            <w:pPr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vypracuje a realizuje plán profesijného rozvoja </w:t>
            </w:r>
          </w:p>
          <w:p w:rsidR="00203B1A" w:rsidRPr="00EC1F0F" w:rsidRDefault="00203B1A" w:rsidP="00EC1F0F">
            <w:pPr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 w:rsidR="00203B1A" w:rsidRPr="00EC1F0F" w:rsidRDefault="00203B1A" w:rsidP="00EC1F0F">
            <w:pPr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</w:tc>
        <w:tc>
          <w:tcPr>
            <w:tcW w:w="5778" w:type="dxa"/>
          </w:tcPr>
          <w:p w:rsidR="00203B1A" w:rsidRPr="00EC1F0F" w:rsidRDefault="00203B1A" w:rsidP="00EC1F0F">
            <w:pPr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8334" w:type="dxa"/>
            <w:gridSpan w:val="2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EC1F0F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  <w:tc>
          <w:tcPr>
            <w:tcW w:w="5778" w:type="dxa"/>
          </w:tcPr>
          <w:p w:rsidR="00203B1A" w:rsidRPr="00EC1F0F" w:rsidRDefault="00203B1A" w:rsidP="00203B1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  <w:bookmarkStart w:id="0" w:name="_GoBack"/>
            <w:bookmarkEnd w:id="0"/>
          </w:p>
        </w:tc>
      </w:tr>
      <w:tr w:rsidR="00203B1A" w:rsidRPr="00EC1F0F" w:rsidTr="00203B1A">
        <w:tc>
          <w:tcPr>
            <w:tcW w:w="1842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492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  <w:tc>
          <w:tcPr>
            <w:tcW w:w="5778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42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492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203B1A" w:rsidRPr="00EC1F0F" w:rsidRDefault="00203B1A" w:rsidP="00EC1F0F">
            <w:pPr>
              <w:numPr>
                <w:ilvl w:val="0"/>
                <w:numId w:val="7"/>
              </w:numPr>
              <w:spacing w:before="120" w:after="120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EC1F0F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EC1F0F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  <w:tc>
          <w:tcPr>
            <w:tcW w:w="5778" w:type="dxa"/>
          </w:tcPr>
          <w:p w:rsidR="00203B1A" w:rsidRPr="00EC1F0F" w:rsidRDefault="00203B1A" w:rsidP="00EC1F0F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1A" w:rsidRPr="00EC1F0F" w:rsidTr="00203B1A">
        <w:tc>
          <w:tcPr>
            <w:tcW w:w="1842" w:type="dxa"/>
          </w:tcPr>
          <w:p w:rsidR="00203B1A" w:rsidRPr="00EC1F0F" w:rsidRDefault="00203B1A" w:rsidP="00EC1F0F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C1F0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492" w:type="dxa"/>
          </w:tcPr>
          <w:p w:rsidR="00203B1A" w:rsidRPr="00EC1F0F" w:rsidRDefault="00203B1A" w:rsidP="00EC1F0F">
            <w:pPr>
              <w:numPr>
                <w:ilvl w:val="0"/>
                <w:numId w:val="1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žiakov, vzor hodnôt a  kultivovaného, etického správania </w:t>
            </w:r>
          </w:p>
          <w:p w:rsidR="00203B1A" w:rsidRPr="00EC1F0F" w:rsidRDefault="00203B1A" w:rsidP="00EC1F0F">
            <w:pPr>
              <w:numPr>
                <w:ilvl w:val="0"/>
                <w:numId w:val="1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 zákonným zástupcom a ďalším partnerom školy </w:t>
            </w:r>
          </w:p>
          <w:p w:rsidR="00203B1A" w:rsidRPr="00EC1F0F" w:rsidRDefault="00203B1A" w:rsidP="00EC1F0F">
            <w:pPr>
              <w:numPr>
                <w:ilvl w:val="0"/>
                <w:numId w:val="1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1F0F"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a školského zariadenia </w:t>
            </w:r>
          </w:p>
        </w:tc>
        <w:tc>
          <w:tcPr>
            <w:tcW w:w="5778" w:type="dxa"/>
          </w:tcPr>
          <w:p w:rsidR="00203B1A" w:rsidRPr="00EC1F0F" w:rsidRDefault="00203B1A" w:rsidP="00EC1F0F">
            <w:pPr>
              <w:numPr>
                <w:ilvl w:val="0"/>
                <w:numId w:val="1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1FF" w:rsidRPr="00E00DCF" w:rsidRDefault="00DB61FF" w:rsidP="00EC1F0F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5F" w:rsidRDefault="00F87C5F">
      <w:pPr>
        <w:spacing w:after="0" w:line="240" w:lineRule="auto"/>
      </w:pPr>
      <w:r>
        <w:separator/>
      </w:r>
    </w:p>
  </w:endnote>
  <w:endnote w:type="continuationSeparator" w:id="0">
    <w:p w:rsidR="00F87C5F" w:rsidRDefault="00F8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03B1A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5F" w:rsidRDefault="00F87C5F">
      <w:pPr>
        <w:spacing w:after="0" w:line="240" w:lineRule="auto"/>
      </w:pPr>
      <w:r>
        <w:separator/>
      </w:r>
    </w:p>
  </w:footnote>
  <w:footnote w:type="continuationSeparator" w:id="0">
    <w:p w:rsidR="00F87C5F" w:rsidRDefault="00F8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54FBBEC8" wp14:editId="58D2E95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 w:numId="1250">
    <w:abstractNumId w:val="8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1">
    <w:abstractNumId w:val="10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2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3">
    <w:abstractNumId w:val="5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6F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3B1A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3926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29B8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D1A97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93E"/>
    <w:rsid w:val="00B53E0D"/>
    <w:rsid w:val="00B60345"/>
    <w:rsid w:val="00B6085C"/>
    <w:rsid w:val="00B65E2F"/>
    <w:rsid w:val="00B66CDE"/>
    <w:rsid w:val="00B71343"/>
    <w:rsid w:val="00B840CC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1F0F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87C5F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  <w:style w:type="table" w:customStyle="1" w:styleId="Mriekatabuky2">
    <w:name w:val="Mriežka tabuľky2"/>
    <w:basedOn w:val="Normlnatabuka"/>
    <w:next w:val="Mriekatabuky"/>
    <w:uiPriority w:val="59"/>
    <w:rsid w:val="007B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B8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EC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  <w:style w:type="table" w:customStyle="1" w:styleId="Mriekatabuky2">
    <w:name w:val="Mriežka tabuľky2"/>
    <w:basedOn w:val="Normlnatabuka"/>
    <w:next w:val="Mriekatabuky"/>
    <w:uiPriority w:val="59"/>
    <w:rsid w:val="007B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B8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EC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0106-20FD-4AF7-BDB1-88A278C8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2020-08-22T08:26:00Z</dcterms:created>
  <dcterms:modified xsi:type="dcterms:W3CDTF">2020-08-22T08:26:00Z</dcterms:modified>
</cp:coreProperties>
</file>